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48"/>
        </w:rPr>
        <w:t>东南亚六国投资准入</w:t>
        <w:br/>
        <w:t>与用工合规对照表</w:t>
      </w:r>
    </w:p>
    <w:p>
      <w:pPr>
        <w:jc w:val="center"/>
      </w:pPr>
      <w:r>
        <w:rPr>
          <w:color w:val="444444"/>
          <w:sz w:val="22"/>
        </w:rPr>
        <w:t>2026 年版 ｜ 新加坡 · 越南 · 印尼 · 泰国 · 马来西亚 · 菲律宾 ｜ 数据截至 2026 年 10 月 20 日</w:t>
      </w:r>
    </w:p>
    <w:p>
      <w:pPr>
        <w:jc w:val="center"/>
      </w:pPr>
      <w:r>
        <w:rPr>
          <w:color w:val="555555"/>
          <w:sz w:val="18"/>
        </w:rPr>
        <w:t>北京浩略律师事务所 · 出海东南亚法律服务｜编制：王冠律师（执业证号 11101202111297085）｜法律审核：北京浩略律师事务所刑辩团队</w:t>
      </w:r>
    </w:p>
    <w:p>
      <w:pPr>
        <w:spacing w:before="200" w:after="120"/>
      </w:pPr>
      <w:r>
        <w:rPr>
          <w:rFonts w:ascii="黑体" w:hAnsi="黑体" w:eastAsia="黑体"/>
          <w:b/>
          <w:sz w:val="26"/>
        </w:rPr>
        <w:t>一、这张表解决什么问题</w:t>
      </w:r>
    </w:p>
    <w:p>
      <w:pPr>
        <w:spacing w:line="360" w:lineRule="auto"/>
        <w:ind w:firstLine="420"/>
      </w:pPr>
      <w:r>
        <w:rPr>
          <w:sz w:val="21"/>
        </w:rPr>
        <w:t>中国企业进入东南亚，最常见的两类错误不是「不知道要审批」，而是顺序错了和标准用了旧版：先汇款后备案、按旧负面清单判断持股、拿三年前的注册资本门槛做方案。本表把六国的外资准入制度、公司形式、持股限制、工作许可、用工成本机制与数据合规要求并列，目的是让读者在一页内看出「哪一国的哪一环节会卡住自己」。</w:t>
      </w:r>
    </w:p>
    <w:p>
      <w:pPr>
        <w:spacing w:line="360" w:lineRule="auto"/>
        <w:ind w:firstLine="420"/>
      </w:pPr>
      <w:r>
        <w:rPr>
          <w:sz w:val="21"/>
        </w:rPr>
        <w:t>凡涉及具体金额、持股比例、审批时限的，本表只填已核到官方或官方指南口径的内容，并在备注中注明核验渠道；未核到的留白或写「以官方最新公布为准」，不凭经验补数字。</w:t>
      </w:r>
    </w:p>
    <w:p>
      <w:pPr>
        <w:spacing w:before="200" w:after="120"/>
      </w:pPr>
      <w:r>
        <w:rPr>
          <w:rFonts w:ascii="黑体" w:hAnsi="黑体" w:eastAsia="黑体"/>
          <w:b/>
          <w:sz w:val="26"/>
        </w:rPr>
        <w:t>二、六国对照表</w:t>
      </w:r>
    </w:p>
    <w:tbl>
      <w:tblPr>
        <w:tblStyle w:val="TableGrid"/>
        <w:tblW w:type="auto" w:w="0"/>
        <w:jc w:val="center"/>
        <w:tblLook w:firstColumn="1" w:firstRow="1" w:lastColumn="0" w:lastRow="0" w:noHBand="0" w:noVBand="1" w:val="04A0"/>
      </w:tblPr>
      <w:tblGrid>
        <w:gridCol w:w="1864"/>
        <w:gridCol w:w="1864"/>
        <w:gridCol w:w="1864"/>
        <w:gridCol w:w="1864"/>
        <w:gridCol w:w="1864"/>
        <w:gridCol w:w="1864"/>
        <w:gridCol w:w="1864"/>
        <w:gridCol w:w="1864"/>
      </w:tblGrid>
      <w:tr>
        <w:tc>
          <w:tcPr>
            <w:tcW w:type="dxa" w:w="1020"/>
            <w:shd w:val="clear" w:color="auto" w:fill="F2F2F2"/>
          </w:tcPr>
          <w:p>
            <w:r/>
            <w:r>
              <w:rPr>
                <w:rFonts w:ascii="黑体" w:hAnsi="黑体" w:eastAsia="黑体"/>
                <w:b/>
                <w:sz w:val="15"/>
              </w:rPr>
              <w:t>国家</w:t>
            </w:r>
          </w:p>
        </w:tc>
        <w:tc>
          <w:tcPr>
            <w:tcW w:type="dxa" w:w="3175"/>
            <w:shd w:val="clear" w:color="auto" w:fill="F2F2F2"/>
          </w:tcPr>
          <w:p>
            <w:r/>
            <w:r>
              <w:rPr>
                <w:rFonts w:ascii="黑体" w:hAnsi="黑体" w:eastAsia="黑体"/>
                <w:b/>
                <w:sz w:val="15"/>
              </w:rPr>
              <w:t>外资准入制度与主管机关</w:t>
            </w:r>
          </w:p>
        </w:tc>
        <w:tc>
          <w:tcPr>
            <w:tcW w:type="dxa" w:w="1814"/>
            <w:shd w:val="clear" w:color="auto" w:fill="F2F2F2"/>
          </w:tcPr>
          <w:p>
            <w:r/>
            <w:r>
              <w:rPr>
                <w:rFonts w:ascii="黑体" w:hAnsi="黑体" w:eastAsia="黑体"/>
                <w:b/>
                <w:sz w:val="15"/>
              </w:rPr>
              <w:t>常用公司形式</w:t>
            </w:r>
          </w:p>
        </w:tc>
        <w:tc>
          <w:tcPr>
            <w:tcW w:type="dxa" w:w="2608"/>
            <w:shd w:val="clear" w:color="auto" w:fill="F2F2F2"/>
          </w:tcPr>
          <w:p>
            <w:r/>
            <w:r>
              <w:rPr>
                <w:rFonts w:ascii="黑体" w:hAnsi="黑体" w:eastAsia="黑体"/>
                <w:b/>
                <w:sz w:val="15"/>
              </w:rPr>
              <w:t>外资持股</w:t>
            </w:r>
          </w:p>
        </w:tc>
        <w:tc>
          <w:tcPr>
            <w:tcW w:type="dxa" w:w="2494"/>
            <w:shd w:val="clear" w:color="auto" w:fill="F2F2F2"/>
          </w:tcPr>
          <w:p>
            <w:r/>
            <w:r>
              <w:rPr>
                <w:rFonts w:ascii="黑体" w:hAnsi="黑体" w:eastAsia="黑体"/>
                <w:b/>
                <w:sz w:val="15"/>
              </w:rPr>
              <w:t>工作许可</w:t>
            </w:r>
          </w:p>
        </w:tc>
        <w:tc>
          <w:tcPr>
            <w:tcW w:type="dxa" w:w="2041"/>
            <w:shd w:val="clear" w:color="auto" w:fill="F2F2F2"/>
          </w:tcPr>
          <w:p>
            <w:r/>
            <w:r>
              <w:rPr>
                <w:rFonts w:ascii="黑体" w:hAnsi="黑体" w:eastAsia="黑体"/>
                <w:b/>
                <w:sz w:val="15"/>
              </w:rPr>
              <w:t>用工成本机制</w:t>
            </w:r>
          </w:p>
        </w:tc>
        <w:tc>
          <w:tcPr>
            <w:tcW w:type="dxa" w:w="2154"/>
            <w:shd w:val="clear" w:color="auto" w:fill="F2F2F2"/>
          </w:tcPr>
          <w:p>
            <w:r/>
            <w:r>
              <w:rPr>
                <w:rFonts w:ascii="黑体" w:hAnsi="黑体" w:eastAsia="黑体"/>
                <w:b/>
                <w:sz w:val="15"/>
              </w:rPr>
              <w:t>数据合规</w:t>
            </w:r>
          </w:p>
        </w:tc>
        <w:tc>
          <w:tcPr>
            <w:tcW w:type="dxa" w:w="1701"/>
            <w:shd w:val="clear" w:color="auto" w:fill="F2F2F2"/>
          </w:tcPr>
          <w:p>
            <w:r/>
            <w:r>
              <w:rPr>
                <w:rFonts w:ascii="黑体" w:hAnsi="黑体" w:eastAsia="黑体"/>
                <w:b/>
                <w:sz w:val="15"/>
              </w:rPr>
              <w:t>官方查询入口</w:t>
            </w:r>
          </w:p>
        </w:tc>
      </w:tr>
      <w:tr>
        <w:tc>
          <w:tcPr>
            <w:tcW w:type="dxa" w:w="1020"/>
          </w:tcPr>
          <w:p>
            <w:pPr>
              <w:spacing w:line="264" w:lineRule="auto"/>
            </w:pPr>
            <w:r/>
            <w:r>
              <w:rPr>
                <w:rFonts w:ascii="仿宋" w:hAnsi="仿宋" w:eastAsia="仿宋"/>
                <w:sz w:val="15"/>
              </w:rPr>
              <w:t>新加坡</w:t>
            </w:r>
          </w:p>
        </w:tc>
        <w:tc>
          <w:tcPr>
            <w:tcW w:type="dxa" w:w="3175"/>
          </w:tcPr>
          <w:p>
            <w:pPr>
              <w:spacing w:line="264" w:lineRule="auto"/>
            </w:pPr>
            <w:r/>
            <w:r>
              <w:rPr>
                <w:rFonts w:ascii="仿宋" w:hAnsi="仿宋" w:eastAsia="仿宋"/>
                <w:sz w:val="15"/>
              </w:rPr>
              <w:t>行业许可制：无统一外资负面清单，特定行业（金融、支付、法律、医疗等）须取得行业监管牌照。公司注册由 ACRA 办理。</w:t>
            </w:r>
          </w:p>
        </w:tc>
        <w:tc>
          <w:tcPr>
            <w:tcW w:type="dxa" w:w="1814"/>
          </w:tcPr>
          <w:p>
            <w:pPr>
              <w:spacing w:line="264" w:lineRule="auto"/>
            </w:pPr>
            <w:r/>
            <w:r>
              <w:rPr>
                <w:rFonts w:ascii="仿宋" w:hAnsi="仿宋" w:eastAsia="仿宋"/>
                <w:sz w:val="15"/>
              </w:rPr>
              <w:t>私人有限公司（Pte. Ltd.）为主；外国公司可设分公司或代表处。</w:t>
            </w:r>
          </w:p>
        </w:tc>
        <w:tc>
          <w:tcPr>
            <w:tcW w:type="dxa" w:w="2608"/>
          </w:tcPr>
          <w:p>
            <w:pPr>
              <w:spacing w:line="264" w:lineRule="auto"/>
            </w:pPr>
            <w:r/>
            <w:r>
              <w:rPr>
                <w:rFonts w:ascii="仿宋" w:hAnsi="仿宋" w:eastAsia="仿宋"/>
                <w:sz w:val="15"/>
              </w:rPr>
              <w:t>一般行业允许 100% 外资；受限领域由行业许可条件决定，而非统一持股上限。</w:t>
            </w:r>
          </w:p>
        </w:tc>
        <w:tc>
          <w:tcPr>
            <w:tcW w:type="dxa" w:w="2494"/>
          </w:tcPr>
          <w:p>
            <w:pPr>
              <w:spacing w:line="264" w:lineRule="auto"/>
            </w:pPr>
            <w:r/>
            <w:r>
              <w:rPr>
                <w:rFonts w:ascii="仿宋" w:hAnsi="仿宋" w:eastAsia="仿宋"/>
                <w:sz w:val="15"/>
              </w:rPr>
              <w:t>Employment Pass（专业人员）／S Pass（中级技能）／Work Permit（劳务），由人力部（MOM）审批。</w:t>
            </w:r>
          </w:p>
        </w:tc>
        <w:tc>
          <w:tcPr>
            <w:tcW w:type="dxa" w:w="2041"/>
          </w:tcPr>
          <w:p>
            <w:pPr>
              <w:spacing w:line="264" w:lineRule="auto"/>
            </w:pPr>
            <w:r/>
            <w:r>
              <w:rPr>
                <w:rFonts w:ascii="仿宋" w:hAnsi="仿宋" w:eastAsia="仿宋"/>
                <w:sz w:val="15"/>
              </w:rPr>
              <w:t>无统一法定最低工资，实行渐进式薪金模式（PWM）与本地雇员配额（Dependency Ratio）。</w:t>
            </w:r>
          </w:p>
        </w:tc>
        <w:tc>
          <w:tcPr>
            <w:tcW w:type="dxa" w:w="2154"/>
          </w:tcPr>
          <w:p>
            <w:pPr>
              <w:spacing w:line="264" w:lineRule="auto"/>
            </w:pPr>
            <w:r/>
            <w:r>
              <w:rPr>
                <w:rFonts w:ascii="仿宋" w:hAnsi="仿宋" w:eastAsia="仿宋"/>
                <w:sz w:val="15"/>
              </w:rPr>
              <w:t>《个人数据保护法》（PDPA）：告知同意、跨境传输条件、数据泄露通知。</w:t>
            </w:r>
          </w:p>
        </w:tc>
        <w:tc>
          <w:tcPr>
            <w:tcW w:type="dxa" w:w="1701"/>
          </w:tcPr>
          <w:p>
            <w:pPr>
              <w:spacing w:line="264" w:lineRule="auto"/>
            </w:pPr>
            <w:r/>
            <w:r>
              <w:rPr>
                <w:rFonts w:ascii="仿宋" w:hAnsi="仿宋" w:eastAsia="仿宋"/>
                <w:sz w:val="15"/>
              </w:rPr>
              <w:t>acra.gov.sg／mom.gov.sg／pdpc.gov.sg</w:t>
            </w:r>
          </w:p>
        </w:tc>
      </w:tr>
      <w:tr>
        <w:tc>
          <w:tcPr>
            <w:tcW w:type="dxa" w:w="1020"/>
          </w:tcPr>
          <w:p>
            <w:pPr>
              <w:spacing w:line="264" w:lineRule="auto"/>
            </w:pPr>
            <w:r/>
            <w:r>
              <w:rPr>
                <w:rFonts w:ascii="仿宋" w:hAnsi="仿宋" w:eastAsia="仿宋"/>
                <w:sz w:val="15"/>
              </w:rPr>
              <w:t>越南</w:t>
            </w:r>
          </w:p>
        </w:tc>
        <w:tc>
          <w:tcPr>
            <w:tcW w:type="dxa" w:w="3175"/>
          </w:tcPr>
          <w:p>
            <w:pPr>
              <w:spacing w:line="264" w:lineRule="auto"/>
            </w:pPr>
            <w:r/>
            <w:r>
              <w:rPr>
                <w:rFonts w:ascii="仿宋" w:hAnsi="仿宋" w:eastAsia="仿宋"/>
                <w:sz w:val="15"/>
              </w:rPr>
              <w:t>负面清单制度：禁止类与限制类清单管理。2025-01-01 起适用新版《投资法》。投资主管部门为财政部，省级为财政厅（原计划投资部的口径已作废）。</w:t>
            </w:r>
          </w:p>
        </w:tc>
        <w:tc>
          <w:tcPr>
            <w:tcW w:type="dxa" w:w="1814"/>
          </w:tcPr>
          <w:p>
            <w:pPr>
              <w:spacing w:line="264" w:lineRule="auto"/>
            </w:pPr>
            <w:r/>
            <w:r>
              <w:rPr>
                <w:rFonts w:ascii="仿宋" w:hAnsi="仿宋" w:eastAsia="仿宋"/>
                <w:sz w:val="15"/>
              </w:rPr>
              <w:t>有限责任公司、股份公司、代表处；工业园区设厂另有园区审批。</w:t>
            </w:r>
          </w:p>
        </w:tc>
        <w:tc>
          <w:tcPr>
            <w:tcW w:type="dxa" w:w="2608"/>
          </w:tcPr>
          <w:p>
            <w:pPr>
              <w:spacing w:line="264" w:lineRule="auto"/>
            </w:pPr>
            <w:r/>
            <w:r>
              <w:rPr>
                <w:rFonts w:ascii="仿宋" w:hAnsi="仿宋" w:eastAsia="仿宋"/>
                <w:sz w:val="15"/>
              </w:rPr>
              <w:t>自 2015 年起一般允许 100% 外资；银行业仍为 30% 上限。并购后市场份额 30%—50% 须事先书面报告竞争管理机构，超过 50% 禁止。</w:t>
            </w:r>
          </w:p>
        </w:tc>
        <w:tc>
          <w:tcPr>
            <w:tcW w:type="dxa" w:w="2494"/>
          </w:tcPr>
          <w:p>
            <w:pPr>
              <w:spacing w:line="264" w:lineRule="auto"/>
            </w:pPr>
            <w:r/>
            <w:r>
              <w:rPr>
                <w:rFonts w:ascii="仿宋" w:hAnsi="仿宋" w:eastAsia="仿宋"/>
                <w:sz w:val="15"/>
              </w:rPr>
              <w:t>工作许可＋暂住卡；外籍员工比例与本地用工有配套要求。</w:t>
            </w:r>
          </w:p>
        </w:tc>
        <w:tc>
          <w:tcPr>
            <w:tcW w:type="dxa" w:w="2041"/>
          </w:tcPr>
          <w:p>
            <w:pPr>
              <w:spacing w:line="264" w:lineRule="auto"/>
            </w:pPr>
            <w:r/>
            <w:r>
              <w:rPr>
                <w:rFonts w:ascii="仿宋" w:hAnsi="仿宋" w:eastAsia="仿宋"/>
                <w:sz w:val="15"/>
              </w:rPr>
              <w:t>按地区设定最低工资，由政府法令逐年调整。</w:t>
            </w:r>
          </w:p>
        </w:tc>
        <w:tc>
          <w:tcPr>
            <w:tcW w:type="dxa" w:w="2154"/>
          </w:tcPr>
          <w:p>
            <w:pPr>
              <w:spacing w:line="264" w:lineRule="auto"/>
            </w:pPr>
            <w:r/>
            <w:r>
              <w:rPr>
                <w:rFonts w:ascii="仿宋" w:hAnsi="仿宋" w:eastAsia="仿宋"/>
                <w:sz w:val="15"/>
              </w:rPr>
              <w:t>《网络安全法》与个人数据保护法令；数据本地化与影响评估要求。</w:t>
            </w:r>
          </w:p>
        </w:tc>
        <w:tc>
          <w:tcPr>
            <w:tcW w:type="dxa" w:w="1701"/>
          </w:tcPr>
          <w:p>
            <w:pPr>
              <w:spacing w:line="264" w:lineRule="auto"/>
            </w:pPr>
            <w:r/>
            <w:r>
              <w:rPr>
                <w:rFonts w:ascii="仿宋" w:hAnsi="仿宋" w:eastAsia="仿宋"/>
                <w:sz w:val="15"/>
              </w:rPr>
              <w:t>dangkykinhdoanh.gov.vn／molisa.gov.vn</w:t>
            </w:r>
          </w:p>
        </w:tc>
      </w:tr>
      <w:tr>
        <w:tc>
          <w:tcPr>
            <w:tcW w:type="dxa" w:w="1020"/>
          </w:tcPr>
          <w:p>
            <w:pPr>
              <w:spacing w:line="264" w:lineRule="auto"/>
            </w:pPr>
            <w:r/>
            <w:r>
              <w:rPr>
                <w:rFonts w:ascii="仿宋" w:hAnsi="仿宋" w:eastAsia="仿宋"/>
                <w:sz w:val="15"/>
              </w:rPr>
              <w:t>印尼</w:t>
            </w:r>
          </w:p>
        </w:tc>
        <w:tc>
          <w:tcPr>
            <w:tcW w:type="dxa" w:w="3175"/>
          </w:tcPr>
          <w:p>
            <w:pPr>
              <w:spacing w:line="264" w:lineRule="auto"/>
            </w:pPr>
            <w:r/>
            <w:r>
              <w:rPr>
                <w:rFonts w:ascii="仿宋" w:hAnsi="仿宋" w:eastAsia="仿宋"/>
                <w:sz w:val="15"/>
              </w:rPr>
              <w:t>以「投资优先清单」正面列举开放行业与持股条件（以现行总统条例为准，逐年调整）；投资协调委员会（BKPM）通过 OSS 系统一站式办理。</w:t>
            </w:r>
          </w:p>
        </w:tc>
        <w:tc>
          <w:tcPr>
            <w:tcW w:type="dxa" w:w="1814"/>
          </w:tcPr>
          <w:p>
            <w:pPr>
              <w:spacing w:line="264" w:lineRule="auto"/>
            </w:pPr>
            <w:r/>
            <w:r>
              <w:rPr>
                <w:rFonts w:ascii="仿宋" w:hAnsi="仿宋" w:eastAsia="仿宋"/>
                <w:sz w:val="15"/>
              </w:rPr>
              <w:t>外资有限责任公司（PT PMA）；可设代表处。</w:t>
            </w:r>
          </w:p>
        </w:tc>
        <w:tc>
          <w:tcPr>
            <w:tcW w:type="dxa" w:w="2608"/>
          </w:tcPr>
          <w:p>
            <w:pPr>
              <w:spacing w:line="264" w:lineRule="auto"/>
            </w:pPr>
            <w:r/>
            <w:r>
              <w:rPr>
                <w:rFonts w:ascii="仿宋" w:hAnsi="仿宋" w:eastAsia="仿宋"/>
                <w:sz w:val="15"/>
              </w:rPr>
              <w:t>按行业设定外资持股上限，清单外行业原则上开放。</w:t>
            </w:r>
          </w:p>
        </w:tc>
        <w:tc>
          <w:tcPr>
            <w:tcW w:type="dxa" w:w="2494"/>
          </w:tcPr>
          <w:p>
            <w:pPr>
              <w:spacing w:line="264" w:lineRule="auto"/>
            </w:pPr>
            <w:r/>
            <w:r>
              <w:rPr>
                <w:rFonts w:ascii="仿宋" w:hAnsi="仿宋" w:eastAsia="仿宋"/>
                <w:sz w:val="15"/>
              </w:rPr>
              <w:t>工作许可（IMTA）＋居留许可（KITAS）；外籍员工须由本地担保。</w:t>
            </w:r>
          </w:p>
        </w:tc>
        <w:tc>
          <w:tcPr>
            <w:tcW w:type="dxa" w:w="2041"/>
          </w:tcPr>
          <w:p>
            <w:pPr>
              <w:spacing w:line="264" w:lineRule="auto"/>
            </w:pPr>
            <w:r/>
            <w:r>
              <w:rPr>
                <w:rFonts w:ascii="仿宋" w:hAnsi="仿宋" w:eastAsia="仿宋"/>
                <w:sz w:val="15"/>
              </w:rPr>
              <w:t>省级最低工资（UMP），每年由省长公布调整。</w:t>
            </w:r>
          </w:p>
        </w:tc>
        <w:tc>
          <w:tcPr>
            <w:tcW w:type="dxa" w:w="2154"/>
          </w:tcPr>
          <w:p>
            <w:pPr>
              <w:spacing w:line="264" w:lineRule="auto"/>
            </w:pPr>
            <w:r/>
            <w:r>
              <w:rPr>
                <w:rFonts w:ascii="仿宋" w:hAnsi="仿宋" w:eastAsia="仿宋"/>
                <w:sz w:val="15"/>
              </w:rPr>
              <w:t>《个人数据保护法》（Law No. 27/2022）：跨境传输须满足法定条件。</w:t>
            </w:r>
          </w:p>
        </w:tc>
        <w:tc>
          <w:tcPr>
            <w:tcW w:type="dxa" w:w="1701"/>
          </w:tcPr>
          <w:p>
            <w:pPr>
              <w:spacing w:line="264" w:lineRule="auto"/>
            </w:pPr>
            <w:r/>
            <w:r>
              <w:rPr>
                <w:rFonts w:ascii="仿宋" w:hAnsi="仿宋" w:eastAsia="仿宋"/>
                <w:sz w:val="15"/>
              </w:rPr>
              <w:t>oss.go.id／bkpm.go.id</w:t>
            </w:r>
          </w:p>
        </w:tc>
      </w:tr>
      <w:tr>
        <w:tc>
          <w:tcPr>
            <w:tcW w:type="dxa" w:w="1020"/>
          </w:tcPr>
          <w:p>
            <w:pPr>
              <w:spacing w:line="264" w:lineRule="auto"/>
            </w:pPr>
            <w:r/>
            <w:r>
              <w:rPr>
                <w:rFonts w:ascii="仿宋" w:hAnsi="仿宋" w:eastAsia="仿宋"/>
                <w:sz w:val="15"/>
              </w:rPr>
              <w:t>泰国</w:t>
            </w:r>
          </w:p>
        </w:tc>
        <w:tc>
          <w:tcPr>
            <w:tcW w:type="dxa" w:w="3175"/>
          </w:tcPr>
          <w:p>
            <w:pPr>
              <w:spacing w:line="264" w:lineRule="auto"/>
            </w:pPr>
            <w:r/>
            <w:r>
              <w:rPr>
                <w:rFonts w:ascii="仿宋" w:hAnsi="仿宋" w:eastAsia="仿宋"/>
                <w:sz w:val="15"/>
              </w:rPr>
              <w:t>《外商经营法》三份目录：禁止经营、须获许可经营、泰方持股不低于 51% 的经营。BOI 或 IEAT 优惠可形成例外。</w:t>
            </w:r>
          </w:p>
        </w:tc>
        <w:tc>
          <w:tcPr>
            <w:tcW w:type="dxa" w:w="1814"/>
          </w:tcPr>
          <w:p>
            <w:pPr>
              <w:spacing w:line="264" w:lineRule="auto"/>
            </w:pPr>
            <w:r/>
            <w:r>
              <w:rPr>
                <w:rFonts w:ascii="仿宋" w:hAnsi="仿宋" w:eastAsia="仿宋"/>
                <w:sz w:val="15"/>
              </w:rPr>
              <w:t>私人有限公司、分公司、代表处。</w:t>
            </w:r>
          </w:p>
        </w:tc>
        <w:tc>
          <w:tcPr>
            <w:tcW w:type="dxa" w:w="2608"/>
          </w:tcPr>
          <w:p>
            <w:pPr>
              <w:spacing w:line="264" w:lineRule="auto"/>
            </w:pPr>
            <w:r/>
            <w:r>
              <w:rPr>
                <w:rFonts w:ascii="仿宋" w:hAnsi="仿宋" w:eastAsia="仿宋"/>
                <w:sz w:val="15"/>
              </w:rPr>
              <w:t>多数服务业要求泰方持股不低于 51%；制造业与 BOI 鼓励类可申请更高外资比例。</w:t>
            </w:r>
          </w:p>
        </w:tc>
        <w:tc>
          <w:tcPr>
            <w:tcW w:type="dxa" w:w="2494"/>
          </w:tcPr>
          <w:p>
            <w:pPr>
              <w:spacing w:line="264" w:lineRule="auto"/>
            </w:pPr>
            <w:r/>
            <w:r>
              <w:rPr>
                <w:rFonts w:ascii="仿宋" w:hAnsi="仿宋" w:eastAsia="仿宋"/>
                <w:sz w:val="15"/>
              </w:rPr>
              <w:t>Non-B 商务签证＋工作许可证（Work Permit）；每名外籍员工须有本地雇员配比。</w:t>
            </w:r>
          </w:p>
        </w:tc>
        <w:tc>
          <w:tcPr>
            <w:tcW w:type="dxa" w:w="2041"/>
          </w:tcPr>
          <w:p>
            <w:pPr>
              <w:spacing w:line="264" w:lineRule="auto"/>
            </w:pPr>
            <w:r/>
            <w:r>
              <w:rPr>
                <w:rFonts w:ascii="仿宋" w:hAnsi="仿宋" w:eastAsia="仿宋"/>
                <w:sz w:val="15"/>
              </w:rPr>
              <w:t>按府设定日最低工资，逐年调整。</w:t>
            </w:r>
          </w:p>
        </w:tc>
        <w:tc>
          <w:tcPr>
            <w:tcW w:type="dxa" w:w="2154"/>
          </w:tcPr>
          <w:p>
            <w:pPr>
              <w:spacing w:line="264" w:lineRule="auto"/>
            </w:pPr>
            <w:r/>
            <w:r>
              <w:rPr>
                <w:rFonts w:ascii="仿宋" w:hAnsi="仿宋" w:eastAsia="仿宋"/>
                <w:sz w:val="15"/>
              </w:rPr>
              <w:t>《个人数据保护法》（PDPA，2019）：告知、同意、跨境传输与数据保护官要求。</w:t>
            </w:r>
          </w:p>
        </w:tc>
        <w:tc>
          <w:tcPr>
            <w:tcW w:type="dxa" w:w="1701"/>
          </w:tcPr>
          <w:p>
            <w:pPr>
              <w:spacing w:line="264" w:lineRule="auto"/>
            </w:pPr>
            <w:r/>
            <w:r>
              <w:rPr>
                <w:rFonts w:ascii="仿宋" w:hAnsi="仿宋" w:eastAsia="仿宋"/>
                <w:sz w:val="15"/>
              </w:rPr>
              <w:t>dbd.go.th／boi.go.th</w:t>
            </w:r>
          </w:p>
        </w:tc>
      </w:tr>
      <w:tr>
        <w:tc>
          <w:tcPr>
            <w:tcW w:type="dxa" w:w="1020"/>
          </w:tcPr>
          <w:p>
            <w:pPr>
              <w:spacing w:line="264" w:lineRule="auto"/>
            </w:pPr>
            <w:r/>
            <w:r>
              <w:rPr>
                <w:rFonts w:ascii="仿宋" w:hAnsi="仿宋" w:eastAsia="仿宋"/>
                <w:sz w:val="15"/>
              </w:rPr>
              <w:t>马来西亚</w:t>
            </w:r>
          </w:p>
        </w:tc>
        <w:tc>
          <w:tcPr>
            <w:tcW w:type="dxa" w:w="3175"/>
          </w:tcPr>
          <w:p>
            <w:pPr>
              <w:spacing w:line="264" w:lineRule="auto"/>
            </w:pPr>
            <w:r/>
            <w:r>
              <w:rPr>
                <w:rFonts w:ascii="仿宋" w:hAnsi="仿宋" w:eastAsia="仿宋"/>
                <w:sz w:val="15"/>
              </w:rPr>
              <w:t>按行业指南管理，制造业项目通常须经马来西亚投资发展局（MIDA）许可；公司注册由公司委员会（SSM）办理。</w:t>
            </w:r>
          </w:p>
        </w:tc>
        <w:tc>
          <w:tcPr>
            <w:tcW w:type="dxa" w:w="1814"/>
          </w:tcPr>
          <w:p>
            <w:pPr>
              <w:spacing w:line="264" w:lineRule="auto"/>
            </w:pPr>
            <w:r/>
            <w:r>
              <w:rPr>
                <w:rFonts w:ascii="仿宋" w:hAnsi="仿宋" w:eastAsia="仿宋"/>
                <w:sz w:val="15"/>
              </w:rPr>
              <w:t>私人有限公司（Sdn. Bhd.）；可设分公司或代表处。</w:t>
            </w:r>
          </w:p>
        </w:tc>
        <w:tc>
          <w:tcPr>
            <w:tcW w:type="dxa" w:w="2608"/>
          </w:tcPr>
          <w:p>
            <w:pPr>
              <w:spacing w:line="264" w:lineRule="auto"/>
            </w:pPr>
            <w:r/>
            <w:r>
              <w:rPr>
                <w:rFonts w:ascii="仿宋" w:hAnsi="仿宋" w:eastAsia="仿宋"/>
                <w:sz w:val="15"/>
              </w:rPr>
              <w:t>多数行业允许 100% 外资；分销贸易、通信等特定领域保留本地持股或牌照要求。</w:t>
            </w:r>
          </w:p>
        </w:tc>
        <w:tc>
          <w:tcPr>
            <w:tcW w:type="dxa" w:w="2494"/>
          </w:tcPr>
          <w:p>
            <w:pPr>
              <w:spacing w:line="264" w:lineRule="auto"/>
            </w:pPr>
            <w:r/>
            <w:r>
              <w:rPr>
                <w:rFonts w:ascii="仿宋" w:hAnsi="仿宋" w:eastAsia="仿宋"/>
                <w:sz w:val="15"/>
              </w:rPr>
              <w:t>Employment Pass 等外籍工作准证，按职位与薪资门槛分级。</w:t>
            </w:r>
          </w:p>
        </w:tc>
        <w:tc>
          <w:tcPr>
            <w:tcW w:type="dxa" w:w="2041"/>
          </w:tcPr>
          <w:p>
            <w:pPr>
              <w:spacing w:line="264" w:lineRule="auto"/>
            </w:pPr>
            <w:r/>
            <w:r>
              <w:rPr>
                <w:rFonts w:ascii="仿宋" w:hAnsi="仿宋" w:eastAsia="仿宋"/>
                <w:sz w:val="15"/>
              </w:rPr>
              <w:t>每月最低工资令；另有外籍劳工税与本地雇员比例要求。</w:t>
            </w:r>
          </w:p>
        </w:tc>
        <w:tc>
          <w:tcPr>
            <w:tcW w:type="dxa" w:w="2154"/>
          </w:tcPr>
          <w:p>
            <w:pPr>
              <w:spacing w:line="264" w:lineRule="auto"/>
            </w:pPr>
            <w:r/>
            <w:r>
              <w:rPr>
                <w:rFonts w:ascii="仿宋" w:hAnsi="仿宋" w:eastAsia="仿宋"/>
                <w:sz w:val="15"/>
              </w:rPr>
              <w:t>《个人数据保护法》（PDPA，2010）：七项原则，跨境传输自 2025 年起须评估。</w:t>
            </w:r>
          </w:p>
        </w:tc>
        <w:tc>
          <w:tcPr>
            <w:tcW w:type="dxa" w:w="1701"/>
          </w:tcPr>
          <w:p>
            <w:pPr>
              <w:spacing w:line="264" w:lineRule="auto"/>
            </w:pPr>
            <w:r/>
            <w:r>
              <w:rPr>
                <w:rFonts w:ascii="仿宋" w:hAnsi="仿宋" w:eastAsia="仿宋"/>
                <w:sz w:val="15"/>
              </w:rPr>
              <w:t>ssm.com.my／mida.gov.my</w:t>
            </w:r>
          </w:p>
        </w:tc>
      </w:tr>
      <w:tr>
        <w:tc>
          <w:tcPr>
            <w:tcW w:type="dxa" w:w="1020"/>
          </w:tcPr>
          <w:p>
            <w:pPr>
              <w:spacing w:line="264" w:lineRule="auto"/>
            </w:pPr>
            <w:r/>
            <w:r>
              <w:rPr>
                <w:rFonts w:ascii="仿宋" w:hAnsi="仿宋" w:eastAsia="仿宋"/>
                <w:sz w:val="15"/>
              </w:rPr>
              <w:t>菲律宾</w:t>
            </w:r>
          </w:p>
        </w:tc>
        <w:tc>
          <w:tcPr>
            <w:tcW w:type="dxa" w:w="3175"/>
          </w:tcPr>
          <w:p>
            <w:pPr>
              <w:spacing w:line="264" w:lineRule="auto"/>
            </w:pPr>
            <w:r/>
            <w:r>
              <w:rPr>
                <w:rFonts w:ascii="仿宋" w:hAnsi="仿宋" w:eastAsia="仿宋"/>
                <w:sz w:val="15"/>
              </w:rPr>
              <w:t>《外国投资法》＋定期更新的「外商限制清单」（A 清单宪法/法律规定限制、B 清单国防与公共安全等）。</w:t>
            </w:r>
          </w:p>
        </w:tc>
        <w:tc>
          <w:tcPr>
            <w:tcW w:type="dxa" w:w="1814"/>
          </w:tcPr>
          <w:p>
            <w:pPr>
              <w:spacing w:line="264" w:lineRule="auto"/>
            </w:pPr>
            <w:r/>
            <w:r>
              <w:rPr>
                <w:rFonts w:ascii="仿宋" w:hAnsi="仿宋" w:eastAsia="仿宋"/>
                <w:sz w:val="15"/>
              </w:rPr>
              <w:t>股份公司、分公司、代表处；零售贸易另有专门法律。</w:t>
            </w:r>
          </w:p>
        </w:tc>
        <w:tc>
          <w:tcPr>
            <w:tcW w:type="dxa" w:w="2608"/>
          </w:tcPr>
          <w:p>
            <w:pPr>
              <w:spacing w:line="264" w:lineRule="auto"/>
            </w:pPr>
            <w:r/>
            <w:r>
              <w:rPr>
                <w:rFonts w:ascii="仿宋" w:hAnsi="仿宋" w:eastAsia="仿宋"/>
                <w:sz w:val="15"/>
              </w:rPr>
              <w:t>按负面清单确定；零售、媒体、公用事业、教育等行业有明确的外资比例上限。</w:t>
            </w:r>
          </w:p>
        </w:tc>
        <w:tc>
          <w:tcPr>
            <w:tcW w:type="dxa" w:w="2494"/>
          </w:tcPr>
          <w:p>
            <w:pPr>
              <w:spacing w:line="264" w:lineRule="auto"/>
            </w:pPr>
            <w:r/>
            <w:r>
              <w:rPr>
                <w:rFonts w:ascii="仿宋" w:hAnsi="仿宋" w:eastAsia="仿宋"/>
                <w:sz w:val="15"/>
              </w:rPr>
              <w:t>9(g) 工作签证或 47(a)(2) 特殊签证＋外国人就业许可（AEP）。</w:t>
            </w:r>
          </w:p>
        </w:tc>
        <w:tc>
          <w:tcPr>
            <w:tcW w:type="dxa" w:w="2041"/>
          </w:tcPr>
          <w:p>
            <w:pPr>
              <w:spacing w:line="264" w:lineRule="auto"/>
            </w:pPr>
            <w:r/>
            <w:r>
              <w:rPr>
                <w:rFonts w:ascii="仿宋" w:hAnsi="仿宋" w:eastAsia="仿宋"/>
                <w:sz w:val="15"/>
              </w:rPr>
              <w:t>地区工资委员会设定最低工资；另有第 13 个月薪资等法定给付。</w:t>
            </w:r>
          </w:p>
        </w:tc>
        <w:tc>
          <w:tcPr>
            <w:tcW w:type="dxa" w:w="2154"/>
          </w:tcPr>
          <w:p>
            <w:pPr>
              <w:spacing w:line="264" w:lineRule="auto"/>
            </w:pPr>
            <w:r/>
            <w:r>
              <w:rPr>
                <w:rFonts w:ascii="仿宋" w:hAnsi="仿宋" w:eastAsia="仿宋"/>
                <w:sz w:val="15"/>
              </w:rPr>
              <w:t>《数据隐私法》（DPA，2012）：告知同意、跨境传输问责。</w:t>
            </w:r>
          </w:p>
        </w:tc>
        <w:tc>
          <w:tcPr>
            <w:tcW w:type="dxa" w:w="1701"/>
          </w:tcPr>
          <w:p>
            <w:pPr>
              <w:spacing w:line="264" w:lineRule="auto"/>
            </w:pPr>
            <w:r/>
            <w:r>
              <w:rPr>
                <w:rFonts w:ascii="仿宋" w:hAnsi="仿宋" w:eastAsia="仿宋"/>
                <w:sz w:val="15"/>
              </w:rPr>
              <w:t>sec.gov.ph／boi.gov.ph</w:t>
            </w:r>
          </w:p>
        </w:tc>
      </w:tr>
    </w:tbl>
    <w:p>
      <w:pPr>
        <w:spacing w:before="60"/>
      </w:pPr>
      <w:r>
        <w:rPr>
          <w:color w:val="555555"/>
          <w:sz w:val="17"/>
        </w:rPr>
        <w:t>数据口径说明：本表只记录制度框架与稳定要素。具体最低工资数额、注册资本门槛、审批时限、持股上限的行业细分，均以东道国官方当期公布为准；越南部分引用商务部《对外投资合作国别（地区）指南·越南》2025 版，该指南对负面清单条目数（27 项与 59 项／25 个）存在自相矛盾，正文已作提示。</w:t>
      </w:r>
    </w:p>
    <w:p>
      <w:r>
        <w:br w:type="page"/>
      </w:r>
    </w:p>
    <w:p>
      <w:pPr>
        <w:spacing w:before="200" w:after="120"/>
      </w:pPr>
      <w:r>
        <w:rPr>
          <w:rFonts w:ascii="黑体" w:hAnsi="黑体" w:eastAsia="黑体"/>
          <w:b/>
          <w:sz w:val="26"/>
        </w:rPr>
        <w:t>三、中国侧三道手续：顺序错了银行必卡</w:t>
      </w:r>
    </w:p>
    <w:p>
      <w:pPr>
        <w:spacing w:line="360" w:lineRule="auto"/>
        <w:ind w:firstLine="420"/>
      </w:pPr>
      <w:r>
        <w:rPr>
          <w:sz w:val="21"/>
        </w:rPr>
        <w:t>境外投资不是「钱出去」一件事。发改委备案/核准、商务部《企业境外投资证书》、外汇登记与汇出，三道手续有法定先后，跳步会被银行直接退回。</w:t>
      </w:r>
    </w:p>
    <w:tbl>
      <w:tblPr>
        <w:tblStyle w:val="TableGrid"/>
        <w:tblW w:type="auto" w:w="0"/>
        <w:jc w:val="center"/>
        <w:tblLook w:firstColumn="1" w:firstRow="1" w:lastColumn="0" w:lastRow="0" w:noHBand="0" w:noVBand="1" w:val="04A0"/>
      </w:tblPr>
      <w:tblGrid>
        <w:gridCol w:w="3728"/>
        <w:gridCol w:w="3728"/>
        <w:gridCol w:w="3728"/>
        <w:gridCol w:w="3728"/>
      </w:tblGrid>
      <w:tr>
        <w:tc>
          <w:tcPr>
            <w:tcW w:type="dxa" w:w="3061"/>
            <w:shd w:val="clear" w:color="auto" w:fill="F2F2F2"/>
          </w:tcPr>
          <w:p>
            <w:r/>
            <w:r>
              <w:rPr>
                <w:rFonts w:ascii="黑体" w:hAnsi="黑体" w:eastAsia="黑体"/>
                <w:b/>
                <w:sz w:val="16"/>
              </w:rPr>
              <w:t>手续</w:t>
            </w:r>
          </w:p>
        </w:tc>
        <w:tc>
          <w:tcPr>
            <w:tcW w:type="dxa" w:w="6009"/>
            <w:shd w:val="clear" w:color="auto" w:fill="F2F2F2"/>
          </w:tcPr>
          <w:p>
            <w:r/>
            <w:r>
              <w:rPr>
                <w:rFonts w:ascii="黑体" w:hAnsi="黑体" w:eastAsia="黑体"/>
                <w:b/>
                <w:sz w:val="16"/>
              </w:rPr>
              <w:t>适用与分工</w:t>
            </w:r>
          </w:p>
        </w:tc>
        <w:tc>
          <w:tcPr>
            <w:tcW w:type="dxa" w:w="3515"/>
            <w:shd w:val="clear" w:color="auto" w:fill="F2F2F2"/>
          </w:tcPr>
          <w:p>
            <w:r/>
            <w:r>
              <w:rPr>
                <w:rFonts w:ascii="黑体" w:hAnsi="黑体" w:eastAsia="黑体"/>
                <w:b/>
                <w:sz w:val="16"/>
              </w:rPr>
              <w:t>时限</w:t>
            </w:r>
          </w:p>
        </w:tc>
        <w:tc>
          <w:tcPr>
            <w:tcW w:type="dxa" w:w="3969"/>
            <w:shd w:val="clear" w:color="auto" w:fill="F2F2F2"/>
          </w:tcPr>
          <w:p>
            <w:r/>
            <w:r>
              <w:rPr>
                <w:rFonts w:ascii="黑体" w:hAnsi="黑体" w:eastAsia="黑体"/>
                <w:b/>
                <w:sz w:val="16"/>
              </w:rPr>
              <w:t>不办的后果</w:t>
            </w:r>
          </w:p>
        </w:tc>
      </w:tr>
      <w:tr>
        <w:tc>
          <w:tcPr>
            <w:tcW w:type="dxa" w:w="3061"/>
          </w:tcPr>
          <w:p>
            <w:pPr>
              <w:spacing w:line="264" w:lineRule="auto"/>
            </w:pPr>
            <w:r/>
            <w:r>
              <w:rPr>
                <w:rFonts w:ascii="仿宋" w:hAnsi="仿宋" w:eastAsia="仿宋"/>
                <w:sz w:val="16"/>
              </w:rPr>
              <w:t>第一道：发改委</w:t>
              <w:br/>
              <w:t>《企业境外投资管理办法》（令第11号，2018-03-01 施行）</w:t>
            </w:r>
          </w:p>
        </w:tc>
        <w:tc>
          <w:tcPr>
            <w:tcW w:type="dxa" w:w="6009"/>
          </w:tcPr>
          <w:p>
            <w:pPr>
              <w:spacing w:line="264" w:lineRule="auto"/>
            </w:pPr>
            <w:r/>
            <w:r>
              <w:rPr>
                <w:rFonts w:ascii="仿宋" w:hAnsi="仿宋" w:eastAsia="仿宋"/>
                <w:sz w:val="16"/>
              </w:rPr>
              <w:t>敏感国家/地区与敏感行业→核准（第13条）；非敏感→备案（第14条）：中央企业报国家发改委，地方企业 3 亿美元及以上报国家发改委、以下报省级发改部门。</w:t>
            </w:r>
          </w:p>
        </w:tc>
        <w:tc>
          <w:tcPr>
            <w:tcW w:type="dxa" w:w="3515"/>
          </w:tcPr>
          <w:p>
            <w:pPr>
              <w:spacing w:line="264" w:lineRule="auto"/>
            </w:pPr>
            <w:r/>
            <w:r>
              <w:rPr>
                <w:rFonts w:ascii="仿宋" w:hAnsi="仿宋" w:eastAsia="仿宋"/>
                <w:sz w:val="16"/>
              </w:rPr>
              <w:t>备案受理后 7 个工作日内出具备案通知书（第29—31条）；核准受理后 20 个工作日内决定，可延长 10 个工作日（第25条）。</w:t>
            </w:r>
          </w:p>
        </w:tc>
        <w:tc>
          <w:tcPr>
            <w:tcW w:type="dxa" w:w="3969"/>
          </w:tcPr>
          <w:p>
            <w:pPr>
              <w:spacing w:line="264" w:lineRule="auto"/>
            </w:pPr>
            <w:r/>
            <w:r>
              <w:rPr>
                <w:rFonts w:ascii="仿宋" w:hAnsi="仿宋" w:eastAsia="仿宋"/>
                <w:sz w:val="16"/>
              </w:rPr>
              <w:t>未取得核准文件或备案通知书的，外汇管理、海关不予办理相关手续（第33条）。</w:t>
            </w:r>
          </w:p>
        </w:tc>
      </w:tr>
      <w:tr>
        <w:tc>
          <w:tcPr>
            <w:tcW w:type="dxa" w:w="3061"/>
          </w:tcPr>
          <w:p>
            <w:pPr>
              <w:spacing w:line="264" w:lineRule="auto"/>
            </w:pPr>
            <w:r/>
            <w:r>
              <w:rPr>
                <w:rFonts w:ascii="仿宋" w:hAnsi="仿宋" w:eastAsia="仿宋"/>
                <w:sz w:val="16"/>
              </w:rPr>
              <w:t>第二道：商务部</w:t>
              <w:br/>
              <w:t>《境外投资管理办法》（令2014年第3号，2014-10-06 施行）</w:t>
            </w:r>
          </w:p>
        </w:tc>
        <w:tc>
          <w:tcPr>
            <w:tcW w:type="dxa" w:w="6009"/>
          </w:tcPr>
          <w:p>
            <w:pPr>
              <w:spacing w:line="264" w:lineRule="auto"/>
            </w:pPr>
            <w:r/>
            <w:r>
              <w:rPr>
                <w:rFonts w:ascii="仿宋" w:hAnsi="仿宋" w:eastAsia="仿宋"/>
                <w:sz w:val="16"/>
              </w:rPr>
              <w:t>四类禁止情形（第4条）；敏感国家/地区与敏感行业→核准，其他→备案（第6条）；《企业境外投资证书》按最终目的地颁发（第8条）。</w:t>
            </w:r>
          </w:p>
        </w:tc>
        <w:tc>
          <w:tcPr>
            <w:tcW w:type="dxa" w:w="3515"/>
          </w:tcPr>
          <w:p>
            <w:pPr>
              <w:spacing w:line="264" w:lineRule="auto"/>
            </w:pPr>
            <w:r/>
            <w:r>
              <w:rPr>
                <w:rFonts w:ascii="仿宋" w:hAnsi="仿宋" w:eastAsia="仿宋"/>
                <w:sz w:val="16"/>
              </w:rPr>
              <w:t>备案表如实完整且声明无第4条情形，3 个工作日内备案并颁证（第9条）。</w:t>
            </w:r>
          </w:p>
        </w:tc>
        <w:tc>
          <w:tcPr>
            <w:tcW w:type="dxa" w:w="3969"/>
          </w:tcPr>
          <w:p>
            <w:pPr>
              <w:spacing w:line="264" w:lineRule="auto"/>
            </w:pPr>
            <w:r/>
            <w:r>
              <w:rPr>
                <w:rFonts w:ascii="仿宋" w:hAnsi="仿宋" w:eastAsia="仿宋"/>
                <w:sz w:val="16"/>
              </w:rPr>
              <w:t>领证 2 年内未实施的，《证书》自动失效（第16条）；境外再投资完成当地手续后须报《再投资报告表》（第25条）。</w:t>
            </w:r>
          </w:p>
        </w:tc>
      </w:tr>
      <w:tr>
        <w:tc>
          <w:tcPr>
            <w:tcW w:type="dxa" w:w="3061"/>
          </w:tcPr>
          <w:p>
            <w:pPr>
              <w:spacing w:line="264" w:lineRule="auto"/>
            </w:pPr>
            <w:r/>
            <w:r>
              <w:rPr>
                <w:rFonts w:ascii="仿宋" w:hAnsi="仿宋" w:eastAsia="仿宋"/>
                <w:sz w:val="16"/>
              </w:rPr>
              <w:t>第三道：外汇登记</w:t>
              <w:br/>
              <w:t>汇发〔2014〕37 号</w:t>
            </w:r>
          </w:p>
        </w:tc>
        <w:tc>
          <w:tcPr>
            <w:tcW w:type="dxa" w:w="6009"/>
          </w:tcPr>
          <w:p>
            <w:pPr>
              <w:spacing w:line="264" w:lineRule="auto"/>
            </w:pPr>
            <w:r/>
            <w:r>
              <w:rPr>
                <w:rFonts w:ascii="仿宋" w:hAnsi="仿宋" w:eastAsia="仿宋"/>
                <w:sz w:val="16"/>
              </w:rPr>
              <w:t>境内居民以境内外资产/权益在境外设立特殊目的公司（SPV），外汇局实行登记管理（第2条）。</w:t>
            </w:r>
          </w:p>
        </w:tc>
        <w:tc>
          <w:tcPr>
            <w:tcW w:type="dxa" w:w="3515"/>
          </w:tcPr>
          <w:p>
            <w:pPr>
              <w:spacing w:line="264" w:lineRule="auto"/>
            </w:pPr>
            <w:r/>
            <w:r>
              <w:rPr>
                <w:rFonts w:ascii="仿宋" w:hAnsi="仿宋" w:eastAsia="仿宋"/>
                <w:sz w:val="16"/>
              </w:rPr>
              <w:t>出资前办理境外投资外汇登记（第3条）；以境内资产权益出资的，在注册地或资产所在地外汇局办理。</w:t>
            </w:r>
          </w:p>
        </w:tc>
        <w:tc>
          <w:tcPr>
            <w:tcW w:type="dxa" w:w="3969"/>
          </w:tcPr>
          <w:p>
            <w:pPr>
              <w:spacing w:line="264" w:lineRule="auto"/>
            </w:pPr>
            <w:r/>
            <w:r>
              <w:rPr>
                <w:rFonts w:ascii="仿宋" w:hAnsi="仿宋" w:eastAsia="仿宋"/>
                <w:sz w:val="16"/>
              </w:rPr>
              <w:t>个人不能办 ODI 备案；个人路径是 37 号文 SPV 登记，且限于投融资与返程投资场景。</w:t>
            </w:r>
          </w:p>
        </w:tc>
      </w:tr>
    </w:tbl>
    <w:p>
      <w:pPr>
        <w:spacing w:before="200" w:after="120"/>
      </w:pPr>
      <w:r>
        <w:rPr>
          <w:rFonts w:ascii="黑体" w:hAnsi="黑体" w:eastAsia="黑体"/>
          <w:b/>
          <w:sz w:val="26"/>
        </w:rPr>
        <w:t>四、落地前必须核验的六个问题</w:t>
      </w:r>
    </w:p>
    <w:p>
      <w:pPr>
        <w:pStyle w:val="ListNumber"/>
        <w:spacing w:line="312" w:lineRule="auto"/>
      </w:pPr>
      <w:r>
        <w:rPr>
          <w:sz w:val="20"/>
        </w:rPr>
        <w:t xml:space="preserve"> 目标行业在当期负面清单／优先清单的哪一档？限制的是持股比例、还是牌照本身？</w:t>
      </w:r>
    </w:p>
    <w:p>
      <w:pPr>
        <w:pStyle w:val="ListNumber"/>
        <w:spacing w:line="312" w:lineRule="auto"/>
      </w:pPr>
      <w:r>
        <w:rPr>
          <w:sz w:val="20"/>
        </w:rPr>
        <w:t xml:space="preserve"> 拟设主体的外资比例，是按「公司层面」还是「最终受益人层面」计算？</w:t>
      </w:r>
    </w:p>
    <w:p>
      <w:pPr>
        <w:pStyle w:val="ListNumber"/>
        <w:spacing w:line="312" w:lineRule="auto"/>
      </w:pPr>
      <w:r>
        <w:rPr>
          <w:sz w:val="20"/>
        </w:rPr>
        <w:t xml:space="preserve"> 外籍员工配额、最低工资与社保基数，按哪一级政府公布的口径执行？</w:t>
      </w:r>
    </w:p>
    <w:p>
      <w:pPr>
        <w:pStyle w:val="ListNumber"/>
        <w:spacing w:line="312" w:lineRule="auto"/>
      </w:pPr>
      <w:r>
        <w:rPr>
          <w:sz w:val="20"/>
        </w:rPr>
        <w:t xml:space="preserve"> 土地是所有权还是使用权？租期上限与续期条件写进合同了吗？</w:t>
      </w:r>
    </w:p>
    <w:p>
      <w:pPr>
        <w:pStyle w:val="ListNumber"/>
        <w:spacing w:line="312" w:lineRule="auto"/>
      </w:pPr>
      <w:r>
        <w:rPr>
          <w:sz w:val="20"/>
        </w:rPr>
        <w:t xml:space="preserve"> 数据是否跨境回传中国总部？回传路径是否触发东道国的跨境传输条件？</w:t>
      </w:r>
    </w:p>
    <w:p>
      <w:pPr>
        <w:pStyle w:val="ListNumber"/>
        <w:spacing w:line="312" w:lineRule="auto"/>
      </w:pPr>
      <w:r>
        <w:rPr>
          <w:sz w:val="20"/>
        </w:rPr>
        <w:t xml:space="preserve"> 中国侧三道手续的先后与时限是否已排进项目时间表？</w:t>
      </w:r>
    </w:p>
    <w:p>
      <w:pPr>
        <w:spacing w:before="200" w:after="120"/>
      </w:pPr>
      <w:r>
        <w:rPr>
          <w:rFonts w:ascii="黑体" w:hAnsi="黑体" w:eastAsia="黑体"/>
          <w:b/>
          <w:sz w:val="26"/>
        </w:rPr>
        <w:t>五、依据清单</w:t>
      </w:r>
    </w:p>
    <w:tbl>
      <w:tblPr>
        <w:tblStyle w:val="TableGrid"/>
        <w:tblW w:type="auto" w:w="0"/>
        <w:jc w:val="center"/>
        <w:tblLook w:firstColumn="1" w:firstRow="1" w:lastColumn="0" w:lastRow="0" w:noHBand="0" w:noVBand="1" w:val="04A0"/>
      </w:tblPr>
      <w:tblGrid>
        <w:gridCol w:w="3728"/>
        <w:gridCol w:w="3728"/>
        <w:gridCol w:w="3728"/>
        <w:gridCol w:w="3728"/>
      </w:tblGrid>
      <w:tr>
        <w:tc>
          <w:tcPr>
            <w:tcW w:type="dxa" w:w="5896"/>
            <w:shd w:val="clear" w:color="auto" w:fill="F2F2F2"/>
          </w:tcPr>
          <w:p>
            <w:r/>
            <w:r>
              <w:rPr>
                <w:rFonts w:ascii="黑体" w:hAnsi="黑体" w:eastAsia="黑体"/>
                <w:b/>
                <w:sz w:val="16"/>
              </w:rPr>
              <w:t>文件名称</w:t>
            </w:r>
          </w:p>
        </w:tc>
        <w:tc>
          <w:tcPr>
            <w:tcW w:type="dxa" w:w="3402"/>
            <w:shd w:val="clear" w:color="auto" w:fill="F2F2F2"/>
          </w:tcPr>
          <w:p>
            <w:r/>
            <w:r>
              <w:rPr>
                <w:rFonts w:ascii="黑体" w:hAnsi="黑体" w:eastAsia="黑体"/>
                <w:b/>
                <w:sz w:val="16"/>
              </w:rPr>
              <w:t>文号／版本</w:t>
            </w:r>
          </w:p>
        </w:tc>
        <w:tc>
          <w:tcPr>
            <w:tcW w:type="dxa" w:w="2041"/>
            <w:shd w:val="clear" w:color="auto" w:fill="F2F2F2"/>
          </w:tcPr>
          <w:p>
            <w:r/>
            <w:r>
              <w:rPr>
                <w:rFonts w:ascii="黑体" w:hAnsi="黑体" w:eastAsia="黑体"/>
                <w:b/>
                <w:sz w:val="16"/>
              </w:rPr>
              <w:t>施行时间</w:t>
            </w:r>
          </w:p>
        </w:tc>
        <w:tc>
          <w:tcPr>
            <w:tcW w:type="dxa" w:w="5216"/>
            <w:shd w:val="clear" w:color="auto" w:fill="F2F2F2"/>
          </w:tcPr>
          <w:p>
            <w:r/>
            <w:r>
              <w:rPr>
                <w:rFonts w:ascii="黑体" w:hAnsi="黑体" w:eastAsia="黑体"/>
                <w:b/>
                <w:sz w:val="16"/>
              </w:rPr>
              <w:t>用途</w:t>
            </w:r>
          </w:p>
        </w:tc>
      </w:tr>
      <w:tr>
        <w:tc>
          <w:tcPr>
            <w:tcW w:type="dxa" w:w="5896"/>
          </w:tcPr>
          <w:p>
            <w:pPr>
              <w:spacing w:line="264" w:lineRule="auto"/>
            </w:pPr>
            <w:r/>
            <w:r>
              <w:rPr>
                <w:rFonts w:ascii="仿宋" w:hAnsi="仿宋" w:eastAsia="仿宋"/>
                <w:sz w:val="16"/>
              </w:rPr>
              <w:t>企业境外投资管理办法</w:t>
            </w:r>
          </w:p>
        </w:tc>
        <w:tc>
          <w:tcPr>
            <w:tcW w:type="dxa" w:w="3402"/>
          </w:tcPr>
          <w:p>
            <w:pPr>
              <w:spacing w:line="264" w:lineRule="auto"/>
            </w:pPr>
            <w:r/>
            <w:r>
              <w:rPr>
                <w:rFonts w:ascii="仿宋" w:hAnsi="仿宋" w:eastAsia="仿宋"/>
                <w:sz w:val="16"/>
              </w:rPr>
              <w:t>国家发展改革委令第 11 号</w:t>
            </w:r>
          </w:p>
        </w:tc>
        <w:tc>
          <w:tcPr>
            <w:tcW w:type="dxa" w:w="2041"/>
          </w:tcPr>
          <w:p>
            <w:pPr>
              <w:spacing w:line="264" w:lineRule="auto"/>
            </w:pPr>
            <w:r/>
            <w:r>
              <w:rPr>
                <w:rFonts w:ascii="仿宋" w:hAnsi="仿宋" w:eastAsia="仿宋"/>
                <w:sz w:val="16"/>
              </w:rPr>
              <w:t>2018-03-01</w:t>
            </w:r>
          </w:p>
        </w:tc>
        <w:tc>
          <w:tcPr>
            <w:tcW w:type="dxa" w:w="5216"/>
          </w:tcPr>
          <w:p>
            <w:pPr>
              <w:spacing w:line="264" w:lineRule="auto"/>
            </w:pPr>
            <w:r/>
            <w:r>
              <w:rPr>
                <w:rFonts w:ascii="仿宋" w:hAnsi="仿宋" w:eastAsia="仿宋"/>
                <w:sz w:val="16"/>
              </w:rPr>
              <w:t>核准/备案分工、时限、未办后果</w:t>
            </w:r>
          </w:p>
        </w:tc>
      </w:tr>
      <w:tr>
        <w:tc>
          <w:tcPr>
            <w:tcW w:type="dxa" w:w="5896"/>
          </w:tcPr>
          <w:p>
            <w:pPr>
              <w:spacing w:line="264" w:lineRule="auto"/>
            </w:pPr>
            <w:r/>
            <w:r>
              <w:rPr>
                <w:rFonts w:ascii="仿宋" w:hAnsi="仿宋" w:eastAsia="仿宋"/>
                <w:sz w:val="16"/>
              </w:rPr>
              <w:t>境外投资管理办法</w:t>
            </w:r>
          </w:p>
        </w:tc>
        <w:tc>
          <w:tcPr>
            <w:tcW w:type="dxa" w:w="3402"/>
          </w:tcPr>
          <w:p>
            <w:pPr>
              <w:spacing w:line="264" w:lineRule="auto"/>
            </w:pPr>
            <w:r/>
            <w:r>
              <w:rPr>
                <w:rFonts w:ascii="仿宋" w:hAnsi="仿宋" w:eastAsia="仿宋"/>
                <w:sz w:val="16"/>
              </w:rPr>
              <w:t>商务部令 2014 年第 3 号</w:t>
            </w:r>
          </w:p>
        </w:tc>
        <w:tc>
          <w:tcPr>
            <w:tcW w:type="dxa" w:w="2041"/>
          </w:tcPr>
          <w:p>
            <w:pPr>
              <w:spacing w:line="264" w:lineRule="auto"/>
            </w:pPr>
            <w:r/>
            <w:r>
              <w:rPr>
                <w:rFonts w:ascii="仿宋" w:hAnsi="仿宋" w:eastAsia="仿宋"/>
                <w:sz w:val="16"/>
              </w:rPr>
              <w:t>2014-10-06</w:t>
            </w:r>
          </w:p>
        </w:tc>
        <w:tc>
          <w:tcPr>
            <w:tcW w:type="dxa" w:w="5216"/>
          </w:tcPr>
          <w:p>
            <w:pPr>
              <w:spacing w:line="264" w:lineRule="auto"/>
            </w:pPr>
            <w:r/>
            <w:r>
              <w:rPr>
                <w:rFonts w:ascii="仿宋" w:hAnsi="仿宋" w:eastAsia="仿宋"/>
                <w:sz w:val="16"/>
              </w:rPr>
              <w:t>禁止情形、证书颁发、再投资报告</w:t>
            </w:r>
          </w:p>
        </w:tc>
      </w:tr>
      <w:tr>
        <w:tc>
          <w:tcPr>
            <w:tcW w:type="dxa" w:w="5896"/>
          </w:tcPr>
          <w:p>
            <w:pPr>
              <w:spacing w:line="264" w:lineRule="auto"/>
            </w:pPr>
            <w:r/>
            <w:r>
              <w:rPr>
                <w:rFonts w:ascii="仿宋" w:hAnsi="仿宋" w:eastAsia="仿宋"/>
                <w:sz w:val="16"/>
              </w:rPr>
              <w:t>国家外汇管理局关于境内居民通过特殊目的公司境外投融资及返程投资外汇管理有关问题的通知</w:t>
            </w:r>
          </w:p>
        </w:tc>
        <w:tc>
          <w:tcPr>
            <w:tcW w:type="dxa" w:w="3402"/>
          </w:tcPr>
          <w:p>
            <w:pPr>
              <w:spacing w:line="264" w:lineRule="auto"/>
            </w:pPr>
            <w:r/>
            <w:r>
              <w:rPr>
                <w:rFonts w:ascii="仿宋" w:hAnsi="仿宋" w:eastAsia="仿宋"/>
                <w:sz w:val="16"/>
              </w:rPr>
              <w:t>汇发〔2014〕37 号</w:t>
            </w:r>
          </w:p>
        </w:tc>
        <w:tc>
          <w:tcPr>
            <w:tcW w:type="dxa" w:w="2041"/>
          </w:tcPr>
          <w:p>
            <w:pPr>
              <w:spacing w:line="264" w:lineRule="auto"/>
            </w:pPr>
            <w:r/>
            <w:r>
              <w:rPr>
                <w:rFonts w:ascii="仿宋" w:hAnsi="仿宋" w:eastAsia="仿宋"/>
                <w:sz w:val="16"/>
              </w:rPr>
              <w:t>2014-07-14</w:t>
            </w:r>
          </w:p>
        </w:tc>
        <w:tc>
          <w:tcPr>
            <w:tcW w:type="dxa" w:w="5216"/>
          </w:tcPr>
          <w:p>
            <w:pPr>
              <w:spacing w:line="264" w:lineRule="auto"/>
            </w:pPr>
            <w:r/>
            <w:r>
              <w:rPr>
                <w:rFonts w:ascii="仿宋" w:hAnsi="仿宋" w:eastAsia="仿宋"/>
                <w:sz w:val="16"/>
              </w:rPr>
              <w:t>SPV 与返程投资外汇登记</w:t>
            </w:r>
          </w:p>
        </w:tc>
      </w:tr>
      <w:tr>
        <w:tc>
          <w:tcPr>
            <w:tcW w:type="dxa" w:w="5896"/>
          </w:tcPr>
          <w:p>
            <w:pPr>
              <w:spacing w:line="264" w:lineRule="auto"/>
            </w:pPr>
            <w:r/>
            <w:r>
              <w:rPr>
                <w:rFonts w:ascii="仿宋" w:hAnsi="仿宋" w:eastAsia="仿宋"/>
                <w:sz w:val="16"/>
              </w:rPr>
              <w:t>对外投资合作国别（地区）指南·越南</w:t>
            </w:r>
          </w:p>
        </w:tc>
        <w:tc>
          <w:tcPr>
            <w:tcW w:type="dxa" w:w="3402"/>
          </w:tcPr>
          <w:p>
            <w:pPr>
              <w:spacing w:line="264" w:lineRule="auto"/>
            </w:pPr>
            <w:r/>
            <w:r>
              <w:rPr>
                <w:rFonts w:ascii="仿宋" w:hAnsi="仿宋" w:eastAsia="仿宋"/>
                <w:sz w:val="16"/>
              </w:rPr>
              <w:t>商务部 2025 版</w:t>
            </w:r>
          </w:p>
        </w:tc>
        <w:tc>
          <w:tcPr>
            <w:tcW w:type="dxa" w:w="2041"/>
          </w:tcPr>
          <w:p>
            <w:pPr>
              <w:spacing w:line="264" w:lineRule="auto"/>
            </w:pPr>
            <w:r/>
            <w:r>
              <w:rPr>
                <w:rFonts w:ascii="仿宋" w:hAnsi="仿宋" w:eastAsia="仿宋"/>
                <w:sz w:val="16"/>
              </w:rPr>
              <w:t>2025</w:t>
            </w:r>
          </w:p>
        </w:tc>
        <w:tc>
          <w:tcPr>
            <w:tcW w:type="dxa" w:w="5216"/>
          </w:tcPr>
          <w:p>
            <w:pPr>
              <w:spacing w:line="264" w:lineRule="auto"/>
            </w:pPr>
            <w:r/>
            <w:r>
              <w:rPr>
                <w:rFonts w:ascii="仿宋" w:hAnsi="仿宋" w:eastAsia="仿宋"/>
                <w:sz w:val="16"/>
              </w:rPr>
              <w:t>越南准入、持股、并购与园区时限</w:t>
            </w:r>
          </w:p>
        </w:tc>
      </w:tr>
      <w:tr>
        <w:tc>
          <w:tcPr>
            <w:tcW w:type="dxa" w:w="5896"/>
          </w:tcPr>
          <w:p>
            <w:pPr>
              <w:spacing w:line="264" w:lineRule="auto"/>
            </w:pPr>
            <w:r/>
            <w:r>
              <w:rPr>
                <w:rFonts w:ascii="仿宋" w:hAnsi="仿宋" w:eastAsia="仿宋"/>
                <w:sz w:val="16"/>
              </w:rPr>
              <w:t>越南投资法</w:t>
            </w:r>
          </w:p>
        </w:tc>
        <w:tc>
          <w:tcPr>
            <w:tcW w:type="dxa" w:w="3402"/>
          </w:tcPr>
          <w:p>
            <w:pPr>
              <w:spacing w:line="264" w:lineRule="auto"/>
            </w:pPr>
            <w:r/>
            <w:r>
              <w:rPr>
                <w:rFonts w:ascii="仿宋" w:hAnsi="仿宋" w:eastAsia="仿宋"/>
                <w:sz w:val="16"/>
              </w:rPr>
              <w:t>2025 年新版</w:t>
            </w:r>
          </w:p>
        </w:tc>
        <w:tc>
          <w:tcPr>
            <w:tcW w:type="dxa" w:w="2041"/>
          </w:tcPr>
          <w:p>
            <w:pPr>
              <w:spacing w:line="264" w:lineRule="auto"/>
            </w:pPr>
            <w:r/>
            <w:r>
              <w:rPr>
                <w:rFonts w:ascii="仿宋" w:hAnsi="仿宋" w:eastAsia="仿宋"/>
                <w:sz w:val="16"/>
              </w:rPr>
              <w:t>2025-01-01</w:t>
            </w:r>
          </w:p>
        </w:tc>
        <w:tc>
          <w:tcPr>
            <w:tcW w:type="dxa" w:w="5216"/>
          </w:tcPr>
          <w:p>
            <w:pPr>
              <w:spacing w:line="264" w:lineRule="auto"/>
            </w:pPr>
            <w:r/>
            <w:r>
              <w:rPr>
                <w:rFonts w:ascii="仿宋" w:hAnsi="仿宋" w:eastAsia="仿宋"/>
                <w:sz w:val="16"/>
              </w:rPr>
              <w:t>负面清单与投资形式（旧「2020 年投资法」口径已过时）</w:t>
            </w:r>
          </w:p>
        </w:tc>
      </w:tr>
    </w:tbl>
    <w:p>
      <w:pPr>
        <w:spacing w:before="200" w:after="120"/>
      </w:pPr>
      <w:r>
        <w:rPr>
          <w:rFonts w:ascii="黑体" w:hAnsi="黑体" w:eastAsia="黑体"/>
          <w:b/>
          <w:sz w:val="26"/>
        </w:rPr>
        <w:t>六、使用边界</w:t>
      </w:r>
    </w:p>
    <w:p>
      <w:pPr>
        <w:spacing w:line="360" w:lineRule="auto"/>
        <w:ind w:firstLine="420"/>
      </w:pPr>
      <w:r>
        <w:rPr>
          <w:sz w:val="21"/>
        </w:rPr>
        <w:t>本表是项目立项与初筛阶段的对照工具，不能替代东道国律师的落地意见。六国的外资政策调整频繁，负面清单、最低工资与签证门槛通常一年一变，签约、注资与提交审批材料前，应以当地官方当期文本与当地律师意见为准。</w:t>
      </w:r>
    </w:p>
    <w:p>
      <w:pPr>
        <w:spacing w:line="360" w:lineRule="auto"/>
        <w:ind w:firstLine="420"/>
      </w:pPr>
      <w:r>
        <w:rPr>
          <w:sz w:val="21"/>
        </w:rPr>
        <w:t>本表同时是《东南亚投资合规年度报告（2026）》的基础数据表。年度报告将在此基础上补充各国当年政策变动、执法案例与行业专项分析。</w:t>
      </w:r>
    </w:p>
    <w:p>
      <w:pPr>
        <w:spacing w:before="60"/>
      </w:pPr>
      <w:r>
        <w:rPr>
          <w:color w:val="555555"/>
          <w:sz w:val="17"/>
        </w:rPr>
        <w:t>数据截至 2026 年 10 月 20 日。如遇官方新规，以新规为准。</w:t>
      </w:r>
    </w:p>
    <w:p>
      <w:pPr>
        <w:spacing w:before="200" w:after="120"/>
      </w:pPr>
      <w:r>
        <w:rPr>
          <w:rFonts w:ascii="黑体" w:hAnsi="黑体" w:eastAsia="黑体"/>
          <w:b/>
          <w:sz w:val="26"/>
        </w:rPr>
        <w:t>七、更新记录</w:t>
      </w:r>
    </w:p>
    <w:tbl>
      <w:tblPr>
        <w:tblStyle w:val="TableGrid"/>
        <w:tblW w:type="auto" w:w="0"/>
        <w:jc w:val="center"/>
        <w:tblLook w:firstColumn="1" w:firstRow="1" w:lastColumn="0" w:lastRow="0" w:noHBand="0" w:noVBand="1" w:val="04A0"/>
      </w:tblPr>
      <w:tblGrid>
        <w:gridCol w:w="4970"/>
        <w:gridCol w:w="4970"/>
        <w:gridCol w:w="4970"/>
      </w:tblGrid>
      <w:tr>
        <w:tc>
          <w:tcPr>
            <w:tcW w:type="dxa" w:w="1361"/>
            <w:shd w:val="clear" w:color="auto" w:fill="F2F2F2"/>
          </w:tcPr>
          <w:p>
            <w:r/>
            <w:r>
              <w:rPr>
                <w:rFonts w:ascii="黑体" w:hAnsi="黑体" w:eastAsia="黑体"/>
                <w:b/>
                <w:sz w:val="18"/>
              </w:rPr>
              <w:t>版本</w:t>
            </w:r>
          </w:p>
        </w:tc>
        <w:tc>
          <w:tcPr>
            <w:tcW w:type="dxa" w:w="1814"/>
            <w:shd w:val="clear" w:color="auto" w:fill="F2F2F2"/>
          </w:tcPr>
          <w:p>
            <w:r/>
            <w:r>
              <w:rPr>
                <w:rFonts w:ascii="黑体" w:hAnsi="黑体" w:eastAsia="黑体"/>
                <w:b/>
                <w:sz w:val="18"/>
              </w:rPr>
              <w:t>日期</w:t>
            </w:r>
          </w:p>
        </w:tc>
        <w:tc>
          <w:tcPr>
            <w:tcW w:type="dxa" w:w="13153"/>
            <w:shd w:val="clear" w:color="auto" w:fill="F2F2F2"/>
          </w:tcPr>
          <w:p>
            <w:r/>
            <w:r>
              <w:rPr>
                <w:rFonts w:ascii="黑体" w:hAnsi="黑体" w:eastAsia="黑体"/>
                <w:b/>
                <w:sz w:val="18"/>
              </w:rPr>
              <w:t>更新内容</w:t>
            </w:r>
          </w:p>
        </w:tc>
      </w:tr>
      <w:tr>
        <w:tc>
          <w:tcPr>
            <w:tcW w:type="dxa" w:w="1361"/>
          </w:tcPr>
          <w:p>
            <w:pPr>
              <w:spacing w:line="264" w:lineRule="auto"/>
            </w:pPr>
            <w:r/>
            <w:r>
              <w:rPr>
                <w:rFonts w:ascii="仿宋" w:hAnsi="仿宋" w:eastAsia="仿宋"/>
                <w:sz w:val="18"/>
              </w:rPr>
              <w:t>v1.0</w:t>
            </w:r>
          </w:p>
        </w:tc>
        <w:tc>
          <w:tcPr>
            <w:tcW w:type="dxa" w:w="1814"/>
          </w:tcPr>
          <w:p>
            <w:pPr>
              <w:spacing w:line="264" w:lineRule="auto"/>
            </w:pPr>
            <w:r/>
            <w:r>
              <w:rPr>
                <w:rFonts w:ascii="仿宋" w:hAnsi="仿宋" w:eastAsia="仿宋"/>
                <w:sz w:val="18"/>
              </w:rPr>
              <w:t>2026-10-20</w:t>
            </w:r>
          </w:p>
        </w:tc>
        <w:tc>
          <w:tcPr>
            <w:tcW w:type="dxa" w:w="13153"/>
          </w:tcPr>
          <w:p>
            <w:pPr>
              <w:spacing w:line="264" w:lineRule="auto"/>
            </w:pPr>
            <w:r/>
            <w:r>
              <w:rPr>
                <w:rFonts w:ascii="仿宋" w:hAnsi="仿宋" w:eastAsia="仿宋"/>
                <w:sz w:val="18"/>
              </w:rPr>
              <w:t>首次发布：六国投资准入与用工合规对照、中国侧三道手续、六项核验清单</w:t>
            </w:r>
          </w:p>
        </w:tc>
      </w:tr>
    </w:tbl>
    <w:p>
      <w:pPr>
        <w:spacing w:before="280"/>
      </w:pPr>
      <w:r>
        <w:rPr>
          <w:b/>
          <w:sz w:val="21"/>
        </w:rPr>
        <w:t>王冠律师｜北京浩略律师事务所联合创始人｜执业证号 11101202111297085｜咨询电话 17813108512</w:t>
      </w:r>
    </w:p>
    <w:sectPr w:rsidR="00FC693F" w:rsidRPr="0006063C" w:rsidSect="00034616">
      <w:pgSz w:w="16838" w:h="11906" w:orient="landscape"/>
      <w:pgMar w:top="1247" w:right="907"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pPr>
    <w:rPr>
      <w:rFonts w:ascii="仿宋" w:hAnsi="仿宋" w:eastAsia="仿宋"/>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